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B8AB" w14:textId="336F777C" w:rsidR="00B407C5" w:rsidRPr="00BA4C0F" w:rsidRDefault="00B407C5" w:rsidP="00BA4C0F">
      <w:pPr>
        <w:jc w:val="center"/>
        <w:rPr>
          <w:rFonts w:ascii="ＭＳ ゴシック" w:eastAsia="ＭＳ ゴシック" w:hAnsi="ＭＳ ゴシック"/>
          <w:b/>
          <w:bCs/>
          <w:sz w:val="32"/>
          <w:szCs w:val="32"/>
        </w:rPr>
      </w:pPr>
      <w:r w:rsidRPr="00BA4C0F">
        <w:rPr>
          <w:rFonts w:ascii="ＭＳ ゴシック" w:eastAsia="ＭＳ ゴシック" w:hAnsi="ＭＳ ゴシック"/>
          <w:b/>
          <w:bCs/>
          <w:sz w:val="32"/>
          <w:szCs w:val="32"/>
        </w:rPr>
        <w:t>Zoom Webinar（共催）趣意書</w:t>
      </w:r>
    </w:p>
    <w:p w14:paraId="3C9534D0" w14:textId="77777777" w:rsidR="00B407C5" w:rsidRDefault="00B407C5" w:rsidP="00B407C5">
      <w:r>
        <w:t xml:space="preserve"> </w:t>
      </w:r>
    </w:p>
    <w:p w14:paraId="4317EE59" w14:textId="77777777" w:rsidR="00B407C5" w:rsidRDefault="00B407C5" w:rsidP="00B407C5">
      <w:r>
        <w:rPr>
          <w:rFonts w:hint="eastAsia"/>
        </w:rPr>
        <w:t>日本不整脈心電学会では、</w:t>
      </w:r>
      <w:r>
        <w:t xml:space="preserve">HP上に仮想ホールを（ベリタスJHRS）建設し、不定期にZoom </w:t>
      </w:r>
    </w:p>
    <w:p w14:paraId="081F9D8F" w14:textId="77777777" w:rsidR="00B407C5" w:rsidRDefault="00B407C5" w:rsidP="00B407C5">
      <w:r>
        <w:t xml:space="preserve">Webinarを配信しています。 </w:t>
      </w:r>
    </w:p>
    <w:p w14:paraId="341DC932" w14:textId="70D87B0F" w:rsidR="00612A1C" w:rsidRDefault="00612A1C" w:rsidP="00B407C5">
      <w:r>
        <w:rPr>
          <w:rFonts w:hint="eastAsia"/>
        </w:rPr>
        <w:t>開催前にはメルマガ配信などで会員へ周知いたしますので是非ご利用ください。</w:t>
      </w:r>
    </w:p>
    <w:p w14:paraId="7F45ED2F" w14:textId="7107F4DC" w:rsidR="00B407C5" w:rsidRPr="00475E1B" w:rsidRDefault="00475E1B" w:rsidP="00475E1B">
      <w:pPr>
        <w:rPr>
          <w:u w:val="single"/>
        </w:rPr>
      </w:pPr>
      <w:r>
        <w:rPr>
          <w:rFonts w:hint="eastAsia"/>
        </w:rPr>
        <w:t>※</w:t>
      </w:r>
      <w:r w:rsidR="00B407C5">
        <w:rPr>
          <w:rFonts w:hint="eastAsia"/>
        </w:rPr>
        <w:t>座長・演者の先生は、</w:t>
      </w:r>
      <w:r w:rsidR="00B407C5" w:rsidRPr="00475E1B">
        <w:rPr>
          <w:rFonts w:hint="eastAsia"/>
          <w:u w:val="single"/>
        </w:rPr>
        <w:t>リモート参加、日本不整脈心電学会事務局</w:t>
      </w:r>
      <w:r w:rsidR="00B407C5" w:rsidRPr="00475E1B">
        <w:rPr>
          <w:u w:val="single"/>
        </w:rPr>
        <w:t>(オフィス)からの参加</w:t>
      </w:r>
    </w:p>
    <w:p w14:paraId="38A90D80" w14:textId="092C7AED" w:rsidR="00B407C5" w:rsidRDefault="00B407C5" w:rsidP="00475E1B">
      <w:pPr>
        <w:ind w:firstLineChars="100" w:firstLine="210"/>
      </w:pPr>
      <w:r w:rsidRPr="00BA4C0F">
        <w:rPr>
          <w:rFonts w:hint="eastAsia"/>
          <w:u w:val="single"/>
        </w:rPr>
        <w:t>のいずれも対応可能です。</w:t>
      </w:r>
      <w:r>
        <w:t xml:space="preserve"> </w:t>
      </w:r>
    </w:p>
    <w:p w14:paraId="26C2772A" w14:textId="77777777" w:rsidR="00612A1C" w:rsidRPr="00475E1B" w:rsidRDefault="00612A1C" w:rsidP="00B407C5">
      <w:pPr>
        <w:rPr>
          <w:b/>
          <w:bCs/>
        </w:rPr>
      </w:pPr>
    </w:p>
    <w:p w14:paraId="1E859A48" w14:textId="68882779" w:rsidR="00562199" w:rsidRPr="00BB35A6" w:rsidRDefault="00612A1C" w:rsidP="00BB35A6">
      <w:pPr>
        <w:pStyle w:val="a9"/>
        <w:numPr>
          <w:ilvl w:val="0"/>
          <w:numId w:val="2"/>
        </w:numPr>
        <w:rPr>
          <w:b/>
          <w:bCs/>
        </w:rPr>
      </w:pPr>
      <w:r w:rsidRPr="00BB35A6">
        <w:rPr>
          <w:rFonts w:hint="eastAsia"/>
          <w:b/>
          <w:bCs/>
        </w:rPr>
        <w:t>開催日時</w:t>
      </w:r>
    </w:p>
    <w:p w14:paraId="3ECB2B0F" w14:textId="4A5F44FE" w:rsidR="00BB35A6" w:rsidRDefault="00BB35A6" w:rsidP="00C234F1">
      <w:pPr>
        <w:ind w:firstLineChars="100" w:firstLine="210"/>
      </w:pPr>
      <w:r w:rsidRPr="00BB35A6">
        <w:rPr>
          <w:rFonts w:hint="eastAsia"/>
        </w:rPr>
        <w:t>放映開始時間は土日を除く、午後</w:t>
      </w:r>
      <w:r w:rsidRPr="00BB35A6">
        <w:t>18：00～、18：30～、19：00～の60～90分になりま</w:t>
      </w:r>
      <w:r>
        <w:rPr>
          <w:rFonts w:hint="eastAsia"/>
        </w:rPr>
        <w:t>す。</w:t>
      </w:r>
    </w:p>
    <w:p w14:paraId="25CFF15A" w14:textId="77777777" w:rsidR="00BB35A6" w:rsidRPr="00BB35A6" w:rsidRDefault="00BB35A6" w:rsidP="00BB35A6">
      <w:pPr>
        <w:pStyle w:val="a9"/>
        <w:ind w:left="450"/>
        <w:rPr>
          <w:rFonts w:hint="eastAsia"/>
        </w:rPr>
      </w:pPr>
    </w:p>
    <w:p w14:paraId="40091F01" w14:textId="4FD7370E" w:rsidR="00B407C5" w:rsidRPr="00BB35A6" w:rsidRDefault="00475E1B" w:rsidP="00B407C5">
      <w:r w:rsidRPr="00BB35A6">
        <w:rPr>
          <w:rFonts w:hint="eastAsia"/>
        </w:rPr>
        <w:t>※</w:t>
      </w:r>
      <w:r w:rsidR="00B407C5" w:rsidRPr="00BB35A6">
        <w:rPr>
          <w:rFonts w:hint="eastAsia"/>
        </w:rPr>
        <w:t>セミナー開始前に</w:t>
      </w:r>
      <w:r w:rsidR="00B407C5" w:rsidRPr="00BB35A6">
        <w:t xml:space="preserve">3～5分程度の広告放映が可能です。 </w:t>
      </w:r>
    </w:p>
    <w:p w14:paraId="781A4FF6" w14:textId="1E946C51" w:rsidR="00B407C5" w:rsidRPr="00BA4C0F" w:rsidRDefault="00B407C5" w:rsidP="00B407C5">
      <w:pPr>
        <w:rPr>
          <w:b/>
          <w:bCs/>
        </w:rPr>
      </w:pPr>
      <w:r w:rsidRPr="00BA4C0F">
        <w:rPr>
          <w:b/>
          <w:bCs/>
        </w:rPr>
        <w:t>広告放映におけるデータ仕様</w:t>
      </w:r>
    </w:p>
    <w:tbl>
      <w:tblPr>
        <w:tblStyle w:val="aa"/>
        <w:tblW w:w="0" w:type="auto"/>
        <w:tblLook w:val="04A0" w:firstRow="1" w:lastRow="0" w:firstColumn="1" w:lastColumn="0" w:noHBand="0" w:noVBand="1"/>
      </w:tblPr>
      <w:tblGrid>
        <w:gridCol w:w="2972"/>
        <w:gridCol w:w="2977"/>
      </w:tblGrid>
      <w:tr w:rsidR="00B407C5" w14:paraId="0DDB81D3" w14:textId="77777777" w:rsidTr="00BA4C0F">
        <w:tc>
          <w:tcPr>
            <w:tcW w:w="2972" w:type="dxa"/>
          </w:tcPr>
          <w:p w14:paraId="3AF3408A" w14:textId="08C88D7A" w:rsidR="00B407C5" w:rsidRDefault="00B407C5" w:rsidP="00BA4C0F">
            <w:pPr>
              <w:jc w:val="center"/>
            </w:pPr>
            <w:r w:rsidRPr="00B407C5">
              <w:rPr>
                <w:rFonts w:hint="eastAsia"/>
              </w:rPr>
              <w:t>データ形式</w:t>
            </w:r>
          </w:p>
        </w:tc>
        <w:tc>
          <w:tcPr>
            <w:tcW w:w="2977" w:type="dxa"/>
          </w:tcPr>
          <w:p w14:paraId="20FFBBFC" w14:textId="17340067" w:rsidR="00B407C5" w:rsidRDefault="00B407C5" w:rsidP="00BA4C0F">
            <w:pPr>
              <w:jc w:val="center"/>
            </w:pPr>
            <w:r w:rsidRPr="00B407C5">
              <w:t>MP4</w:t>
            </w:r>
          </w:p>
        </w:tc>
      </w:tr>
      <w:tr w:rsidR="00B407C5" w14:paraId="29B524F2" w14:textId="77777777" w:rsidTr="00BA4C0F">
        <w:tc>
          <w:tcPr>
            <w:tcW w:w="2972" w:type="dxa"/>
          </w:tcPr>
          <w:p w14:paraId="391035DF" w14:textId="0992BFF4" w:rsidR="00B407C5" w:rsidRDefault="00B407C5" w:rsidP="00BA4C0F">
            <w:pPr>
              <w:jc w:val="center"/>
            </w:pPr>
            <w:r w:rsidRPr="00B407C5">
              <w:rPr>
                <w:rFonts w:hint="eastAsia"/>
              </w:rPr>
              <w:t>映像コーデック</w:t>
            </w:r>
          </w:p>
        </w:tc>
        <w:tc>
          <w:tcPr>
            <w:tcW w:w="2977" w:type="dxa"/>
          </w:tcPr>
          <w:p w14:paraId="3DEF8B05" w14:textId="548B88F3" w:rsidR="00B407C5" w:rsidRDefault="00B407C5" w:rsidP="00BA4C0F">
            <w:pPr>
              <w:jc w:val="center"/>
            </w:pPr>
            <w:r w:rsidRPr="00B407C5">
              <w:t>H. 264</w:t>
            </w:r>
          </w:p>
        </w:tc>
      </w:tr>
      <w:tr w:rsidR="00B407C5" w14:paraId="71555822" w14:textId="77777777" w:rsidTr="00BA4C0F">
        <w:tc>
          <w:tcPr>
            <w:tcW w:w="2972" w:type="dxa"/>
          </w:tcPr>
          <w:p w14:paraId="2557217F" w14:textId="3E32606E" w:rsidR="00B407C5" w:rsidRDefault="00B407C5" w:rsidP="00BA4C0F">
            <w:pPr>
              <w:jc w:val="center"/>
            </w:pPr>
            <w:r w:rsidRPr="00B407C5">
              <w:rPr>
                <w:rFonts w:hint="eastAsia"/>
              </w:rPr>
              <w:t>解像度</w:t>
            </w:r>
          </w:p>
        </w:tc>
        <w:tc>
          <w:tcPr>
            <w:tcW w:w="2977" w:type="dxa"/>
          </w:tcPr>
          <w:p w14:paraId="1AACC6DA" w14:textId="24637D32" w:rsidR="00B407C5" w:rsidRDefault="00B407C5" w:rsidP="00BA4C0F">
            <w:pPr>
              <w:jc w:val="center"/>
            </w:pPr>
            <w:r w:rsidRPr="00B407C5">
              <w:t>1920X1080</w:t>
            </w:r>
          </w:p>
        </w:tc>
      </w:tr>
      <w:tr w:rsidR="00B407C5" w14:paraId="6B20E9ED" w14:textId="77777777" w:rsidTr="00BA4C0F">
        <w:tc>
          <w:tcPr>
            <w:tcW w:w="2972" w:type="dxa"/>
          </w:tcPr>
          <w:p w14:paraId="7223005E" w14:textId="4902B0DF" w:rsidR="00B407C5" w:rsidRDefault="00B407C5" w:rsidP="00BA4C0F">
            <w:pPr>
              <w:jc w:val="center"/>
            </w:pPr>
            <w:r w:rsidRPr="00B407C5">
              <w:rPr>
                <w:rFonts w:hint="eastAsia"/>
              </w:rPr>
              <w:t>フレームレート</w:t>
            </w:r>
          </w:p>
        </w:tc>
        <w:tc>
          <w:tcPr>
            <w:tcW w:w="2977" w:type="dxa"/>
          </w:tcPr>
          <w:p w14:paraId="43D20544" w14:textId="68EA2C68" w:rsidR="00B407C5" w:rsidRDefault="00B407C5" w:rsidP="00BA4C0F">
            <w:pPr>
              <w:jc w:val="center"/>
            </w:pPr>
            <w:r w:rsidRPr="00B407C5">
              <w:t>59. 94p</w:t>
            </w:r>
          </w:p>
        </w:tc>
      </w:tr>
      <w:tr w:rsidR="00B407C5" w14:paraId="0A2903FE" w14:textId="77777777" w:rsidTr="00BA4C0F">
        <w:tc>
          <w:tcPr>
            <w:tcW w:w="2972" w:type="dxa"/>
          </w:tcPr>
          <w:p w14:paraId="68BB1C56" w14:textId="7D507C61" w:rsidR="00B407C5" w:rsidRDefault="00B407C5" w:rsidP="00BA4C0F">
            <w:pPr>
              <w:jc w:val="center"/>
            </w:pPr>
            <w:r w:rsidRPr="00B407C5">
              <w:rPr>
                <w:rFonts w:hint="eastAsia"/>
              </w:rPr>
              <w:t>音声コーデック</w:t>
            </w:r>
          </w:p>
        </w:tc>
        <w:tc>
          <w:tcPr>
            <w:tcW w:w="2977" w:type="dxa"/>
          </w:tcPr>
          <w:p w14:paraId="6D3AF72A" w14:textId="39052699" w:rsidR="00B407C5" w:rsidRDefault="00B407C5" w:rsidP="00BA4C0F">
            <w:pPr>
              <w:jc w:val="center"/>
            </w:pPr>
            <w:r w:rsidRPr="00B407C5">
              <w:t>AAC、 MP3</w:t>
            </w:r>
          </w:p>
        </w:tc>
      </w:tr>
      <w:tr w:rsidR="00B407C5" w14:paraId="4882A3F2" w14:textId="77777777" w:rsidTr="00BA4C0F">
        <w:tc>
          <w:tcPr>
            <w:tcW w:w="2972" w:type="dxa"/>
          </w:tcPr>
          <w:p w14:paraId="34199E21" w14:textId="0A4569A4" w:rsidR="00B407C5" w:rsidRPr="00B407C5" w:rsidRDefault="00B407C5" w:rsidP="00BA4C0F">
            <w:pPr>
              <w:jc w:val="center"/>
            </w:pPr>
            <w:r w:rsidRPr="00B407C5">
              <w:rPr>
                <w:rFonts w:hint="eastAsia"/>
              </w:rPr>
              <w:t>動画時間</w:t>
            </w:r>
          </w:p>
        </w:tc>
        <w:tc>
          <w:tcPr>
            <w:tcW w:w="2977" w:type="dxa"/>
          </w:tcPr>
          <w:p w14:paraId="55D431AD" w14:textId="7278BEEA" w:rsidR="00B407C5" w:rsidRPr="00B407C5" w:rsidRDefault="00B407C5" w:rsidP="00BA4C0F">
            <w:pPr>
              <w:jc w:val="center"/>
            </w:pPr>
            <w:r w:rsidRPr="00B407C5">
              <w:t>3</w:t>
            </w:r>
            <w:r w:rsidRPr="00B407C5">
              <w:rPr>
                <w:rFonts w:hint="eastAsia"/>
              </w:rPr>
              <w:t>〜</w:t>
            </w:r>
            <w:r w:rsidRPr="00B407C5">
              <w:t>5分間程度</w:t>
            </w:r>
          </w:p>
        </w:tc>
      </w:tr>
    </w:tbl>
    <w:p w14:paraId="00425112" w14:textId="1D410A1A" w:rsidR="00B407C5" w:rsidRDefault="00B407C5" w:rsidP="00B407C5"/>
    <w:p w14:paraId="46387A23" w14:textId="77777777" w:rsidR="00475E1B" w:rsidRDefault="00475E1B" w:rsidP="00475E1B">
      <w:r>
        <w:rPr>
          <w:rFonts w:hint="eastAsia"/>
        </w:rPr>
        <w:t>最大視聴者数はシステムの都合で定められた数になります。</w:t>
      </w:r>
    </w:p>
    <w:p w14:paraId="7FB25A4A" w14:textId="77777777" w:rsidR="00475E1B" w:rsidRDefault="00475E1B" w:rsidP="00475E1B">
      <w:r>
        <w:rPr>
          <w:rFonts w:hint="eastAsia"/>
        </w:rPr>
        <w:t>お申込の企業は、申込用紙に可能な限り座長・演者の希望を明記してください。</w:t>
      </w:r>
      <w:r>
        <w:t xml:space="preserve"> </w:t>
      </w:r>
    </w:p>
    <w:p w14:paraId="0598228B" w14:textId="783ED752" w:rsidR="00475E1B" w:rsidRDefault="00475E1B" w:rsidP="00475E1B">
      <w:r>
        <w:rPr>
          <w:rFonts w:hint="eastAsia"/>
        </w:rPr>
        <w:t>事務局で調整をさせていただいた後、ご依頼をお願いいたします。</w:t>
      </w:r>
    </w:p>
    <w:p w14:paraId="01A6B9C6" w14:textId="77777777" w:rsidR="00475E1B" w:rsidRDefault="00475E1B" w:rsidP="00B407C5"/>
    <w:p w14:paraId="46A3248D" w14:textId="77777777" w:rsidR="00B407C5" w:rsidRPr="00BA4C0F" w:rsidRDefault="00B407C5" w:rsidP="00B407C5">
      <w:pPr>
        <w:rPr>
          <w:b/>
          <w:bCs/>
        </w:rPr>
      </w:pPr>
      <w:r w:rsidRPr="00BA4C0F">
        <w:rPr>
          <w:b/>
          <w:bCs/>
        </w:rPr>
        <w:t xml:space="preserve">2 . 共催費に含まれるもの含まれないもの </w:t>
      </w:r>
    </w:p>
    <w:p w14:paraId="7BBE21B7" w14:textId="0965F78F" w:rsidR="00B407C5" w:rsidRDefault="00B407C5" w:rsidP="00C234F1">
      <w:pPr>
        <w:ind w:firstLineChars="100" w:firstLine="210"/>
      </w:pPr>
      <w:r>
        <w:rPr>
          <w:rFonts w:hint="eastAsia"/>
        </w:rPr>
        <w:t>含まれるもの：</w:t>
      </w:r>
      <w:r>
        <w:t xml:space="preserve"> </w:t>
      </w:r>
    </w:p>
    <w:p w14:paraId="48206A48" w14:textId="77777777" w:rsidR="00B407C5" w:rsidRDefault="00B407C5" w:rsidP="00C234F1">
      <w:pPr>
        <w:ind w:firstLineChars="100" w:firstLine="210"/>
      </w:pPr>
      <w:r>
        <w:t xml:space="preserve">1）事務局内付帯設備(音響・照明ｼｽﾃﾑ及びｴﾝｼﾞﾆｱ、ﾏｲｸ､ｽｸﾘｰﾝ等) </w:t>
      </w:r>
    </w:p>
    <w:p w14:paraId="1E9A2F4A" w14:textId="77777777" w:rsidR="00B407C5" w:rsidRDefault="00B407C5" w:rsidP="00C234F1">
      <w:pPr>
        <w:ind w:firstLineChars="100" w:firstLine="210"/>
      </w:pPr>
      <w:r>
        <w:t xml:space="preserve">2）会議付帯機材(液晶ﾌﾟﾛｼﾞｪｸﾀｰ、試写機材等) </w:t>
      </w:r>
    </w:p>
    <w:p w14:paraId="1C14E946" w14:textId="77777777" w:rsidR="00B407C5" w:rsidRDefault="00B407C5" w:rsidP="00C234F1">
      <w:pPr>
        <w:ind w:firstLineChars="100" w:firstLine="210"/>
      </w:pPr>
      <w:r>
        <w:t xml:space="preserve">3）運営スタッフ等人件費 </w:t>
      </w:r>
    </w:p>
    <w:p w14:paraId="2A76C663" w14:textId="77777777" w:rsidR="00C234F1" w:rsidRDefault="00C234F1" w:rsidP="00C234F1">
      <w:pPr>
        <w:ind w:firstLineChars="100" w:firstLine="210"/>
      </w:pPr>
    </w:p>
    <w:p w14:paraId="6945EF87" w14:textId="77777777" w:rsidR="00B407C5" w:rsidRDefault="00B407C5" w:rsidP="00C234F1">
      <w:pPr>
        <w:ind w:firstLineChars="100" w:firstLine="210"/>
      </w:pPr>
      <w:r>
        <w:rPr>
          <w:rFonts w:hint="eastAsia"/>
        </w:rPr>
        <w:t>※含まれないもの：</w:t>
      </w:r>
      <w:r>
        <w:t xml:space="preserve"> </w:t>
      </w:r>
    </w:p>
    <w:p w14:paraId="3B030AB9" w14:textId="77777777" w:rsidR="00B407C5" w:rsidRDefault="00B407C5" w:rsidP="00C234F1">
      <w:pPr>
        <w:ind w:firstLineChars="100" w:firstLine="210"/>
      </w:pPr>
      <w:r>
        <w:t xml:space="preserve">1）座長・演者が事務局で参加した場合のお弁当代 </w:t>
      </w:r>
    </w:p>
    <w:p w14:paraId="7EBF3EA2" w14:textId="77777777" w:rsidR="00B407C5" w:rsidRDefault="00B407C5" w:rsidP="00C234F1">
      <w:pPr>
        <w:ind w:firstLineChars="100" w:firstLine="210"/>
      </w:pPr>
      <w:r>
        <w:t xml:space="preserve">2）上記以外の追加機材 </w:t>
      </w:r>
    </w:p>
    <w:p w14:paraId="09D2CE7B" w14:textId="77777777" w:rsidR="00B407C5" w:rsidRDefault="00B407C5" w:rsidP="00C234F1">
      <w:pPr>
        <w:ind w:firstLineChars="100" w:firstLine="210"/>
      </w:pPr>
      <w:r>
        <w:t xml:space="preserve">3）座長・演者が事務局で参加した場合の旅費・宿泊費 </w:t>
      </w:r>
    </w:p>
    <w:p w14:paraId="77480173" w14:textId="77777777" w:rsidR="00B407C5" w:rsidRDefault="00B407C5" w:rsidP="00C234F1">
      <w:pPr>
        <w:ind w:firstLineChars="100" w:firstLine="210"/>
      </w:pPr>
      <w:r>
        <w:t xml:space="preserve">4）座長および演者の謝礼 </w:t>
      </w:r>
    </w:p>
    <w:p w14:paraId="206C7E88" w14:textId="77777777" w:rsidR="00B407C5" w:rsidRDefault="00B407C5" w:rsidP="00C234F1">
      <w:pPr>
        <w:ind w:firstLineChars="100" w:firstLine="210"/>
      </w:pPr>
      <w:r>
        <w:t xml:space="preserve">5）案内用チラシ等印刷物 </w:t>
      </w:r>
    </w:p>
    <w:p w14:paraId="2AEC0C2C" w14:textId="7D3EF4A7" w:rsidR="00B407C5" w:rsidRDefault="00B407C5" w:rsidP="00C234F1">
      <w:pPr>
        <w:ind w:firstLineChars="100" w:firstLine="210"/>
      </w:pPr>
      <w:r>
        <w:t>6）事務局外配信場所を使用した場合の会場・機材費</w:t>
      </w:r>
    </w:p>
    <w:p w14:paraId="4F0E9741" w14:textId="77777777" w:rsidR="00C234F1" w:rsidRDefault="00C234F1" w:rsidP="00C234F1">
      <w:pPr>
        <w:ind w:firstLineChars="100" w:firstLine="210"/>
      </w:pPr>
    </w:p>
    <w:p w14:paraId="4BEC31FD" w14:textId="77777777" w:rsidR="00C234F1" w:rsidRDefault="00C234F1" w:rsidP="00C234F1">
      <w:pPr>
        <w:ind w:firstLineChars="100" w:firstLine="210"/>
        <w:rPr>
          <w:rFonts w:hint="eastAsia"/>
        </w:rPr>
      </w:pPr>
    </w:p>
    <w:p w14:paraId="2AEEA66F" w14:textId="5FC013BF" w:rsidR="00B407C5" w:rsidRPr="00BA4C0F" w:rsidRDefault="00B407C5" w:rsidP="00B407C5">
      <w:pPr>
        <w:rPr>
          <w:b/>
          <w:bCs/>
        </w:rPr>
      </w:pPr>
      <w:r w:rsidRPr="00BA4C0F">
        <w:rPr>
          <w:b/>
          <w:bCs/>
        </w:rPr>
        <w:lastRenderedPageBreak/>
        <w:t>3. 収支予算</w:t>
      </w:r>
    </w:p>
    <w:p w14:paraId="10655561" w14:textId="43A7396E" w:rsidR="00B407C5" w:rsidRDefault="0040240B" w:rsidP="00B407C5">
      <w:r w:rsidRPr="0040240B">
        <w:rPr>
          <w:noProof/>
        </w:rPr>
        <w:drawing>
          <wp:inline distT="0" distB="0" distL="0" distR="0" wp14:anchorId="44D02D62" wp14:editId="27DD03D6">
            <wp:extent cx="5400040" cy="3419475"/>
            <wp:effectExtent l="0" t="0" r="0" b="0"/>
            <wp:docPr id="17205920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419475"/>
                    </a:xfrm>
                    <a:prstGeom prst="rect">
                      <a:avLst/>
                    </a:prstGeom>
                    <a:noFill/>
                    <a:ln>
                      <a:noFill/>
                    </a:ln>
                  </pic:spPr>
                </pic:pic>
              </a:graphicData>
            </a:graphic>
          </wp:inline>
        </w:drawing>
      </w:r>
    </w:p>
    <w:p w14:paraId="1EEACB1B" w14:textId="77777777" w:rsidR="00B407C5" w:rsidRPr="00BA4C0F" w:rsidRDefault="00B407C5" w:rsidP="00B407C5">
      <w:pPr>
        <w:rPr>
          <w:b/>
          <w:bCs/>
        </w:rPr>
      </w:pPr>
      <w:r w:rsidRPr="00BA4C0F">
        <w:rPr>
          <w:b/>
          <w:bCs/>
        </w:rPr>
        <w:t xml:space="preserve">4. お申込およびお支払期限 </w:t>
      </w:r>
    </w:p>
    <w:p w14:paraId="307E8062" w14:textId="77777777" w:rsidR="00B407C5" w:rsidRDefault="00B407C5" w:rsidP="00B407C5">
      <w:r>
        <w:rPr>
          <w:rFonts w:hint="eastAsia"/>
        </w:rPr>
        <w:t>随時対応いたしますが、先着分を優先させていただきます。</w:t>
      </w:r>
      <w:r>
        <w:t xml:space="preserve"> </w:t>
      </w:r>
    </w:p>
    <w:p w14:paraId="00100493" w14:textId="3DC6D19B" w:rsidR="00B407C5" w:rsidRDefault="00B407C5" w:rsidP="00B407C5">
      <w:r>
        <w:rPr>
          <w:rFonts w:hint="eastAsia"/>
        </w:rPr>
        <w:t>支払期限</w:t>
      </w:r>
      <w:r>
        <w:t xml:space="preserve">(セミナー終了後、次の月末) </w:t>
      </w:r>
      <w:r w:rsidR="00157737">
        <w:rPr>
          <w:rFonts w:hint="eastAsia"/>
        </w:rPr>
        <w:t xml:space="preserve"> </w:t>
      </w:r>
      <w:r>
        <w:t xml:space="preserve">※請求書の到着後にお振込みください。 </w:t>
      </w:r>
    </w:p>
    <w:p w14:paraId="34B0D892" w14:textId="77777777" w:rsidR="000519AD" w:rsidRDefault="000519AD" w:rsidP="00B407C5"/>
    <w:p w14:paraId="3313266C" w14:textId="77777777" w:rsidR="000519AD" w:rsidRDefault="000519AD" w:rsidP="00B407C5"/>
    <w:p w14:paraId="6CE5EFF6" w14:textId="77777777" w:rsidR="00B407C5" w:rsidRDefault="00B407C5" w:rsidP="00B407C5">
      <w:r>
        <w:rPr>
          <w:rFonts w:hint="eastAsia"/>
        </w:rPr>
        <w:t>日本製薬工業協会策定の「企業活動と医療機関等の関係の透明性ガイドライン」およ</w:t>
      </w:r>
    </w:p>
    <w:p w14:paraId="4C33997E" w14:textId="77777777" w:rsidR="00B407C5" w:rsidRDefault="00B407C5" w:rsidP="00B407C5">
      <w:r>
        <w:rPr>
          <w:rFonts w:hint="eastAsia"/>
        </w:rPr>
        <w:t>び</w:t>
      </w:r>
      <w:r>
        <w:t xml:space="preserve"> 日本医療機器産業連合会策定の「医療機器業界における医療機関等との透明性ガイ</w:t>
      </w:r>
    </w:p>
    <w:p w14:paraId="72944A9E" w14:textId="77777777" w:rsidR="00B407C5" w:rsidRDefault="00B407C5" w:rsidP="00B407C5">
      <w:r>
        <w:rPr>
          <w:rFonts w:hint="eastAsia"/>
        </w:rPr>
        <w:t>ドラ</w:t>
      </w:r>
      <w:r>
        <w:t xml:space="preserve"> イン」に基づき「貴社と医療機関及び医療関係者との関係の透明性に関する指</w:t>
      </w:r>
    </w:p>
    <w:p w14:paraId="3DFF730E" w14:textId="77777777" w:rsidR="00B407C5" w:rsidRDefault="00B407C5" w:rsidP="00B407C5">
      <w:r>
        <w:rPr>
          <w:rFonts w:hint="eastAsia"/>
        </w:rPr>
        <w:t>針」に従</w:t>
      </w:r>
      <w:r>
        <w:t xml:space="preserve"> い、会合等開催にかかる費用を「学会名」「共催セミナー名」の通りに、貴</w:t>
      </w:r>
    </w:p>
    <w:p w14:paraId="0BEDAA0B" w14:textId="77777777" w:rsidR="00B407C5" w:rsidRDefault="00B407C5" w:rsidP="00B407C5">
      <w:r>
        <w:rPr>
          <w:rFonts w:hint="eastAsia"/>
        </w:rPr>
        <w:t>社のウェブ</w:t>
      </w:r>
      <w:r>
        <w:t xml:space="preserve"> サイト上に公開することに同意します。 </w:t>
      </w:r>
    </w:p>
    <w:p w14:paraId="5BB1B021" w14:textId="77777777" w:rsidR="00BA4C0F" w:rsidRDefault="00BA4C0F" w:rsidP="00B407C5"/>
    <w:p w14:paraId="55A29303" w14:textId="77777777" w:rsidR="0040240B" w:rsidRDefault="0040240B" w:rsidP="00B407C5"/>
    <w:p w14:paraId="37A12630" w14:textId="77777777" w:rsidR="00B407C5" w:rsidRPr="00BA4C0F" w:rsidRDefault="00B407C5" w:rsidP="00B407C5">
      <w:pPr>
        <w:rPr>
          <w:b/>
          <w:bCs/>
        </w:rPr>
      </w:pPr>
      <w:r w:rsidRPr="00BA4C0F">
        <w:rPr>
          <w:rFonts w:hint="eastAsia"/>
          <w:b/>
          <w:bCs/>
        </w:rPr>
        <w:t>■備</w:t>
      </w:r>
      <w:r w:rsidRPr="00BA4C0F">
        <w:rPr>
          <w:b/>
          <w:bCs/>
        </w:rPr>
        <w:t xml:space="preserve">   考 </w:t>
      </w:r>
    </w:p>
    <w:p w14:paraId="3C42D023" w14:textId="77777777" w:rsidR="00B407C5" w:rsidRDefault="00B407C5" w:rsidP="00B407C5">
      <w:r>
        <w:t xml:space="preserve">1. 参加各社と一般社団日本不整脈心電学会の共催といたします。 </w:t>
      </w:r>
    </w:p>
    <w:p w14:paraId="6A379A3E" w14:textId="77777777" w:rsidR="00B407C5" w:rsidRDefault="00B407C5" w:rsidP="00B407C5">
      <w:r>
        <w:t xml:space="preserve">2. 商品説明に終始することなく、学術的な内容も含むように留意してください。 </w:t>
      </w:r>
    </w:p>
    <w:p w14:paraId="722519F5" w14:textId="77777777" w:rsidR="00B407C5" w:rsidRDefault="00B407C5" w:rsidP="00B407C5">
      <w:r>
        <w:t xml:space="preserve">3. 学会規定により、未承認品を取り上げることは禁止しています。 </w:t>
      </w:r>
    </w:p>
    <w:p w14:paraId="7364EE46" w14:textId="45087A4E" w:rsidR="00B407C5" w:rsidRPr="00B407C5" w:rsidRDefault="00B407C5" w:rsidP="00B407C5"/>
    <w:sectPr w:rsidR="00B407C5" w:rsidRPr="00B407C5" w:rsidSect="00EF2C6A">
      <w:pgSz w:w="11906" w:h="16838"/>
      <w:pgMar w:top="1134" w:right="1701" w:bottom="79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0C5E"/>
    <w:multiLevelType w:val="hybridMultilevel"/>
    <w:tmpl w:val="0BD2B84A"/>
    <w:lvl w:ilvl="0" w:tplc="D280312E">
      <w:numFmt w:val="bullet"/>
      <w:lvlText w:val="※"/>
      <w:lvlJc w:val="left"/>
      <w:pPr>
        <w:ind w:left="360" w:hanging="360"/>
      </w:pPr>
      <w:rPr>
        <w:rFonts w:ascii="游明朝" w:eastAsia="游明朝" w:hAnsi="游明朝"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4594EA7"/>
    <w:multiLevelType w:val="hybridMultilevel"/>
    <w:tmpl w:val="3968A4BE"/>
    <w:lvl w:ilvl="0" w:tplc="D6D8A9D0">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3021771">
    <w:abstractNumId w:val="0"/>
  </w:num>
  <w:num w:numId="2" w16cid:durableId="162569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C5"/>
    <w:rsid w:val="000519AD"/>
    <w:rsid w:val="00062D8A"/>
    <w:rsid w:val="00157737"/>
    <w:rsid w:val="0035227B"/>
    <w:rsid w:val="0040240B"/>
    <w:rsid w:val="00475E1B"/>
    <w:rsid w:val="00562199"/>
    <w:rsid w:val="00612A1C"/>
    <w:rsid w:val="00675183"/>
    <w:rsid w:val="00901881"/>
    <w:rsid w:val="009335A3"/>
    <w:rsid w:val="00A507B3"/>
    <w:rsid w:val="00B407C5"/>
    <w:rsid w:val="00B73751"/>
    <w:rsid w:val="00BA4C0F"/>
    <w:rsid w:val="00BB35A6"/>
    <w:rsid w:val="00C234F1"/>
    <w:rsid w:val="00C26D26"/>
    <w:rsid w:val="00C27E51"/>
    <w:rsid w:val="00EF2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A8516E"/>
  <w15:chartTrackingRefBased/>
  <w15:docId w15:val="{0442DE7E-8E4F-4333-977D-A5D44BE1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407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07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07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407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07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07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07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07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07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07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07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07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407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07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07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07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07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07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07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0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7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0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7C5"/>
    <w:pPr>
      <w:spacing w:before="160" w:after="160"/>
      <w:jc w:val="center"/>
    </w:pPr>
    <w:rPr>
      <w:i/>
      <w:iCs/>
      <w:color w:val="404040" w:themeColor="text1" w:themeTint="BF"/>
    </w:rPr>
  </w:style>
  <w:style w:type="character" w:customStyle="1" w:styleId="a8">
    <w:name w:val="引用文 (文字)"/>
    <w:basedOn w:val="a0"/>
    <w:link w:val="a7"/>
    <w:uiPriority w:val="29"/>
    <w:rsid w:val="00B407C5"/>
    <w:rPr>
      <w:i/>
      <w:iCs/>
      <w:color w:val="404040" w:themeColor="text1" w:themeTint="BF"/>
    </w:rPr>
  </w:style>
  <w:style w:type="paragraph" w:styleId="a9">
    <w:name w:val="List Paragraph"/>
    <w:basedOn w:val="a"/>
    <w:uiPriority w:val="34"/>
    <w:qFormat/>
    <w:rsid w:val="00B407C5"/>
    <w:pPr>
      <w:ind w:left="720"/>
      <w:contextualSpacing/>
    </w:pPr>
  </w:style>
  <w:style w:type="character" w:styleId="21">
    <w:name w:val="Intense Emphasis"/>
    <w:basedOn w:val="a0"/>
    <w:uiPriority w:val="21"/>
    <w:qFormat/>
    <w:rsid w:val="00B407C5"/>
    <w:rPr>
      <w:i/>
      <w:iCs/>
      <w:color w:val="0F4761" w:themeColor="accent1" w:themeShade="BF"/>
    </w:rPr>
  </w:style>
  <w:style w:type="paragraph" w:styleId="22">
    <w:name w:val="Intense Quote"/>
    <w:basedOn w:val="a"/>
    <w:next w:val="a"/>
    <w:link w:val="23"/>
    <w:uiPriority w:val="30"/>
    <w:qFormat/>
    <w:rsid w:val="00B4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07C5"/>
    <w:rPr>
      <w:i/>
      <w:iCs/>
      <w:color w:val="0F4761" w:themeColor="accent1" w:themeShade="BF"/>
    </w:rPr>
  </w:style>
  <w:style w:type="character" w:styleId="24">
    <w:name w:val="Intense Reference"/>
    <w:basedOn w:val="a0"/>
    <w:uiPriority w:val="32"/>
    <w:qFormat/>
    <w:rsid w:val="00B407C5"/>
    <w:rPr>
      <w:b/>
      <w:bCs/>
      <w:smallCaps/>
      <w:color w:val="0F4761" w:themeColor="accent1" w:themeShade="BF"/>
      <w:spacing w:val="5"/>
    </w:rPr>
  </w:style>
  <w:style w:type="table" w:styleId="aa">
    <w:name w:val="Table Grid"/>
    <w:basedOn w:val="a1"/>
    <w:uiPriority w:val="39"/>
    <w:rsid w:val="00B4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仁志 藤野</dc:creator>
  <cp:keywords/>
  <dc:description/>
  <cp:lastModifiedBy>仁志 藤野</cp:lastModifiedBy>
  <cp:revision>13</cp:revision>
  <dcterms:created xsi:type="dcterms:W3CDTF">2025-03-21T05:43:00Z</dcterms:created>
  <dcterms:modified xsi:type="dcterms:W3CDTF">2026-03-05T06:23:00Z</dcterms:modified>
</cp:coreProperties>
</file>